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E73DD" w14:textId="3FF4239B" w:rsidR="00506D63" w:rsidRPr="00FA16E7" w:rsidRDefault="00DE7A02" w:rsidP="00EE2737">
      <w:pPr>
        <w:pStyle w:val="ad"/>
        <w:keepNext/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FA16E7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Согласие субъекта на обработку персональных данных </w:t>
      </w:r>
    </w:p>
    <w:p w14:paraId="41D4BC57" w14:textId="47FF7360" w:rsidR="003466AD" w:rsidRPr="00FA16E7" w:rsidRDefault="00CE1497" w:rsidP="002A75E5">
      <w:pPr>
        <w:keepNext/>
        <w:spacing w:before="120" w:after="120"/>
        <w:ind w:firstLine="0"/>
        <w:contextualSpacing/>
        <w:outlineLvl w:val="0"/>
        <w:rPr>
          <w:rFonts w:ascii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FA16E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6E33B" wp14:editId="5FC9481B">
                <wp:simplePos x="0" y="0"/>
                <wp:positionH relativeFrom="margin">
                  <wp:posOffset>-488147</wp:posOffset>
                </wp:positionH>
                <wp:positionV relativeFrom="page">
                  <wp:posOffset>1657350</wp:posOffset>
                </wp:positionV>
                <wp:extent cx="3162300" cy="260985"/>
                <wp:effectExtent l="0" t="0" r="0" b="571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8B95" w14:textId="4C39BD4C" w:rsidR="00506D63" w:rsidRPr="00506D63" w:rsidRDefault="00137E99" w:rsidP="00506D63">
                            <w:pPr>
                              <w:ind w:firstLine="0"/>
                              <w:jc w:val="left"/>
                              <w:rPr>
                                <w:lang w:val="en-US"/>
                              </w:rPr>
                            </w:pPr>
                            <w:r w:rsidRPr="00D9006C">
                              <w:rPr>
                                <w:rFonts w:ascii="Times New Roman" w:hAnsi="Times New Roman" w:cs="Times New Roman"/>
                                <w:color w:val="1F1F1F"/>
                                <w:sz w:val="22"/>
                                <w:szCs w:val="22"/>
                                <w:shd w:val="clear" w:color="auto" w:fill="FFFFFF"/>
                              </w:rPr>
                              <w:t>г. Архангельск, Архангельская 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6E3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8.45pt;margin-top:130.5pt;width:249pt;height:20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" filled="f" stroked="f">
                <v:textbox style="mso-fit-shape-to-text:t">
                  <w:txbxContent>
                    <w:p w14:paraId="50CE8B95" w14:textId="4C39BD4C" w:rsidR="00506D63" w:rsidRPr="00506D63" w:rsidRDefault="00137E99" w:rsidP="00506D63">
                      <w:pPr>
                        <w:ind w:firstLine="0"/>
                        <w:jc w:val="left"/>
                        <w:rPr>
                          <w:lang w:val="en-US"/>
                        </w:rPr>
                      </w:pPr>
                      <w:r w:rsidRPr="00D9006C">
                        <w:rPr>
                          <w:rFonts w:ascii="Times New Roman" w:hAnsi="Times New Roman" w:cs="Times New Roman"/>
                          <w:color w:val="1F1F1F"/>
                          <w:sz w:val="22"/>
                          <w:szCs w:val="22"/>
                          <w:shd w:val="clear" w:color="auto" w:fill="FFFFFF"/>
                        </w:rPr>
                        <w:t>г. Архангельск, Архангельская область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64C45C4" w14:textId="0E3C5090" w:rsidR="002A75E5" w:rsidRPr="00FA16E7" w:rsidRDefault="002A75E5" w:rsidP="002A75E5">
      <w:pPr>
        <w:keepNext/>
        <w:spacing w:before="120" w:after="120"/>
        <w:ind w:firstLine="0"/>
        <w:contextualSpacing/>
        <w:outlineLvl w:val="0"/>
        <w:rPr>
          <w:rFonts w:ascii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43309F37" w14:textId="3CEA8A9E" w:rsidR="002A75E5" w:rsidRPr="00FA16E7" w:rsidRDefault="008470E1" w:rsidP="002A75E5">
      <w:pPr>
        <w:ind w:left="-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FA16E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154521" w:rsidRPr="00FA16E7">
        <w:rPr>
          <w:rFonts w:ascii="Times New Roman" w:hAnsi="Times New Roman" w:cs="Times New Roman"/>
          <w:sz w:val="22"/>
          <w:szCs w:val="22"/>
        </w:rPr>
        <w:t xml:space="preserve">     </w:t>
      </w:r>
      <w:r w:rsidR="00391ACD" w:rsidRPr="00FA16E7">
        <w:rPr>
          <w:rFonts w:ascii="Times New Roman" w:hAnsi="Times New Roman" w:cs="Times New Roman"/>
          <w:sz w:val="22"/>
          <w:szCs w:val="22"/>
        </w:rPr>
        <w:t xml:space="preserve"> </w:t>
      </w:r>
      <w:r w:rsidR="00160277" w:rsidRPr="00FA16E7">
        <w:rPr>
          <w:rFonts w:ascii="Times New Roman" w:hAnsi="Times New Roman" w:cs="Times New Roman"/>
          <w:sz w:val="22"/>
          <w:szCs w:val="22"/>
        </w:rPr>
        <w:t xml:space="preserve">      </w:t>
      </w:r>
      <w:r w:rsidR="00C30DBD" w:rsidRPr="00FA16E7">
        <w:rPr>
          <w:rFonts w:ascii="Times New Roman" w:hAnsi="Times New Roman" w:cs="Times New Roman"/>
          <w:sz w:val="22"/>
          <w:szCs w:val="22"/>
        </w:rPr>
        <w:t xml:space="preserve">   </w:t>
      </w:r>
      <w:r w:rsidR="007B4D53" w:rsidRPr="00FA16E7">
        <w:rPr>
          <w:rFonts w:ascii="Times New Roman" w:hAnsi="Times New Roman" w:cs="Times New Roman"/>
          <w:sz w:val="22"/>
          <w:szCs w:val="22"/>
        </w:rPr>
        <w:t xml:space="preserve">   </w:t>
      </w:r>
      <w:r w:rsidR="00294090" w:rsidRPr="00FA16E7">
        <w:rPr>
          <w:rFonts w:ascii="Times New Roman" w:hAnsi="Times New Roman" w:cs="Times New Roman"/>
          <w:sz w:val="22"/>
          <w:szCs w:val="22"/>
        </w:rPr>
        <w:t xml:space="preserve">  </w:t>
      </w:r>
      <w:r w:rsidR="00501338" w:rsidRPr="00FA16E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5C4E539" w14:textId="77777777" w:rsidR="00DE7A02" w:rsidRPr="00FA16E7" w:rsidRDefault="00DE7A02" w:rsidP="00DE7A02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hAnsi="Times New Roman" w:cs="Times New Roman"/>
          <w:sz w:val="22"/>
          <w:szCs w:val="22"/>
        </w:rPr>
      </w:pPr>
    </w:p>
    <w:p w14:paraId="50021C66" w14:textId="23A78159" w:rsidR="008470E1" w:rsidRPr="007D64C3" w:rsidRDefault="00DE7A02" w:rsidP="005E6C9A">
      <w:pPr>
        <w:ind w:left="-567" w:firstLine="567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7D64C3">
        <w:rPr>
          <w:rFonts w:ascii="Times New Roman" w:hAnsi="Times New Roman" w:cs="Times New Roman"/>
          <w:sz w:val="22"/>
          <w:szCs w:val="22"/>
        </w:rPr>
        <w:t xml:space="preserve">Даю свое согласие оператору обработки персональных данных - </w:t>
      </w:r>
      <w:r w:rsidR="00DD50E1" w:rsidRPr="009C08F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"Агентство недвижимости "Северный дом"", ОГРН 1122901014983; ИНН 2901228188;  КПП 290101001; Юридический адрес: 163069, Архангельская область, г. Архангельск, ул. Поморская, д. 22; Фактический адрес: 16</w:t>
      </w:r>
      <w:r w:rsidR="00DD50E1">
        <w:rPr>
          <w:rFonts w:ascii="Times New Roman" w:hAnsi="Times New Roman" w:cs="Times New Roman"/>
          <w:sz w:val="22"/>
          <w:szCs w:val="22"/>
        </w:rPr>
        <w:t>3069, Архангельская область, г. </w:t>
      </w:r>
      <w:r w:rsidR="00DD50E1" w:rsidRPr="009C08F0">
        <w:rPr>
          <w:rFonts w:ascii="Times New Roman" w:hAnsi="Times New Roman" w:cs="Times New Roman"/>
          <w:sz w:val="22"/>
          <w:szCs w:val="22"/>
        </w:rPr>
        <w:t>Архангельск, ул. Поморская, д. 22; Банковские реквизиты: р/с 40702810804000005592 в Архангельском отделении №8637 ПАО Сбербанк, Корреспондентский счет 30101810100000000601, БИК  041117601, ИНН 7707083893, КПП 290102001; Телефон +7(911)554-11-33; Сайт https://samoletplus.ru/arkhangelsk/, E-</w:t>
      </w:r>
      <w:proofErr w:type="spellStart"/>
      <w:r w:rsidR="00DD50E1" w:rsidRPr="009C08F0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DD50E1" w:rsidRPr="009C08F0">
        <w:rPr>
          <w:rFonts w:ascii="Times New Roman" w:hAnsi="Times New Roman" w:cs="Times New Roman"/>
          <w:sz w:val="22"/>
          <w:szCs w:val="22"/>
        </w:rPr>
        <w:t xml:space="preserve"> 441130@mail.ru, </w:t>
      </w:r>
      <w:hyperlink r:id="rId7" w:history="1">
        <w:r w:rsidR="00DD50E1" w:rsidRPr="00EA45F5">
          <w:rPr>
            <w:rStyle w:val="af1"/>
            <w:rFonts w:ascii="Times New Roman" w:hAnsi="Times New Roman" w:cs="Times New Roman"/>
            <w:sz w:val="22"/>
            <w:szCs w:val="22"/>
          </w:rPr>
          <w:t>severdom29@mail.ru</w:t>
        </w:r>
      </w:hyperlink>
      <w:r w:rsidRPr="007D64C3">
        <w:rPr>
          <w:rFonts w:ascii="Times New Roman" w:hAnsi="Times New Roman" w:cs="Times New Roman"/>
          <w:sz w:val="22"/>
          <w:szCs w:val="22"/>
        </w:rPr>
        <w:t xml:space="preserve">, </w:t>
      </w:r>
      <w:r w:rsidR="00DD50E1">
        <w:rPr>
          <w:rFonts w:ascii="Times New Roman" w:hAnsi="Times New Roman" w:cs="Times New Roman"/>
          <w:sz w:val="22"/>
          <w:szCs w:val="22"/>
        </w:rPr>
        <w:t>в лице Генерального директора Терещенко Сергея Анатольевича, действующего на основании Устава</w:t>
      </w:r>
      <w:r w:rsidR="00DD50E1">
        <w:rPr>
          <w:rFonts w:ascii="Times New Roman" w:hAnsi="Times New Roman" w:cs="Times New Roman"/>
          <w:sz w:val="22"/>
          <w:szCs w:val="22"/>
        </w:rPr>
        <w:t>,</w:t>
      </w:r>
      <w:r w:rsidR="00DD50E1" w:rsidRPr="007D64C3">
        <w:rPr>
          <w:rFonts w:ascii="Times New Roman" w:hAnsi="Times New Roman" w:cs="Times New Roman"/>
          <w:sz w:val="22"/>
          <w:szCs w:val="22"/>
        </w:rPr>
        <w:t xml:space="preserve"> </w:t>
      </w:r>
      <w:r w:rsidRPr="007D64C3">
        <w:rPr>
          <w:rFonts w:ascii="Times New Roman" w:hAnsi="Times New Roman" w:cs="Times New Roman"/>
          <w:sz w:val="22"/>
          <w:szCs w:val="22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исполнения Публичного рамочного агентского договора.</w:t>
      </w:r>
    </w:p>
    <w:p w14:paraId="6336C099" w14:textId="77777777" w:rsidR="00DE7A02" w:rsidRPr="00FA16E7" w:rsidRDefault="00DE7A02" w:rsidP="005E6C9A">
      <w:pPr>
        <w:spacing w:before="108" w:after="108" w:line="100" w:lineRule="atLeast"/>
        <w:ind w:left="-567" w:firstLine="56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"/>
      <w:r w:rsidRPr="00FA16E7">
        <w:rPr>
          <w:rFonts w:ascii="Times New Roman" w:hAnsi="Times New Roman" w:cs="Times New Roman"/>
          <w:b/>
          <w:bCs/>
          <w:color w:val="26282F"/>
          <w:sz w:val="22"/>
          <w:szCs w:val="22"/>
        </w:rPr>
        <w:t>Перечень персональных данных, на обработку которых дается согласие</w:t>
      </w:r>
    </w:p>
    <w:bookmarkEnd w:id="0"/>
    <w:p w14:paraId="46879ECC" w14:textId="77777777" w:rsidR="00DE7A02" w:rsidRPr="00FA16E7" w:rsidRDefault="00DE7A02" w:rsidP="00DE7A02">
      <w:pPr>
        <w:spacing w:line="100" w:lineRule="atLeas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18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6245"/>
        <w:gridCol w:w="1134"/>
        <w:gridCol w:w="1129"/>
        <w:gridCol w:w="25"/>
        <w:gridCol w:w="520"/>
      </w:tblGrid>
      <w:tr w:rsidR="00DE7A02" w:rsidRPr="00FA16E7" w14:paraId="64512ECC" w14:textId="77777777" w:rsidTr="007D64C3"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E38E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A16E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A8F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Персональные данные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FFF9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Согласие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FCCD00" w14:textId="77777777" w:rsidR="00DE7A02" w:rsidRPr="00FA16E7" w:rsidRDefault="00DE7A02" w:rsidP="00DE7A0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527CB3FF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31FC" w14:textId="77777777" w:rsidR="00DE7A02" w:rsidRPr="00FA16E7" w:rsidRDefault="00DE7A02" w:rsidP="00DE7A02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5D45" w14:textId="77777777" w:rsidR="00DE7A02" w:rsidRPr="00FA16E7" w:rsidRDefault="00DE7A02" w:rsidP="00DE7A02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E2044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C8D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E7A02" w:rsidRPr="00FA16E7" w14:paraId="30492121" w14:textId="77777777" w:rsidTr="007D64C3">
        <w:trPr>
          <w:gridAfter w:val="1"/>
          <w:wAfter w:w="520" w:type="dxa"/>
          <w:trHeight w:val="499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A875" w14:textId="27A3E9A6" w:rsidR="00DE7A02" w:rsidRPr="00FA16E7" w:rsidRDefault="00DE7A02" w:rsidP="00DE7A02">
            <w:pPr>
              <w:spacing w:before="108" w:after="108"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  <w:t>1. Общая информация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8C5942" w14:textId="77777777" w:rsidR="00DE7A02" w:rsidRPr="00FA16E7" w:rsidRDefault="00DE7A02" w:rsidP="00DE7A0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2928B28C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B50D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60D5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8C31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1DB6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12BBBFD9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802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083E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0A57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80F2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721755D9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C17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DA68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786A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299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3E865CE4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4C3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85B5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Год, месяц, дата и место рождения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E5A68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FFC1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36663B1C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65F22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800E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77B8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B77F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3DC57EBD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6EF3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2896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Семейное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C0D5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8A04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0AA7949A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F6D8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A2AB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Социальное положение (для ипотеки)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7109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23DD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698C10BF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C9E14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3FB4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Имущественное положение (для ипотеки)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BF72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5734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0CA46ACA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6BB1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4C4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Образование (для ипотеки)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231F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1701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48ECF0AF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90AA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95F6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Профессия (для ипотеки)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CDCB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ACE7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3B376071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5073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34AE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B613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DFF3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59CC01AC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AFEF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3857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5D9C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1B1D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44873ECD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1109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28D1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834A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828C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04EEA607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27C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AC17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Аккаунты в социальных сетях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E929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BEF0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A02" w:rsidRPr="00FA16E7" w14:paraId="4CE53DAC" w14:textId="77777777" w:rsidTr="007D64C3">
        <w:tblPrEx>
          <w:tblCellMar>
            <w:left w:w="108" w:type="dxa"/>
            <w:right w:w="108" w:type="dxa"/>
          </w:tblCellMar>
        </w:tblPrEx>
        <w:trPr>
          <w:gridAfter w:val="2"/>
          <w:wAfter w:w="545" w:type="dxa"/>
        </w:trPr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0DCB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07E0" w14:textId="0EC60EAB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Сведения, указанные в приложени</w:t>
            </w:r>
            <w:r w:rsidR="00CE1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 xml:space="preserve"> №1 </w:t>
            </w:r>
            <w:r w:rsidR="00CE1497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Публичному рамочному агентскому договору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0221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E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7917" w14:textId="77777777" w:rsidR="00DE7A02" w:rsidRPr="00FA16E7" w:rsidRDefault="00DE7A02" w:rsidP="00DE7A0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CA8AAC" w14:textId="6D236F08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</w:p>
    <w:p w14:paraId="36994C94" w14:textId="77777777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  <w:r w:rsidRPr="005E6C9A">
        <w:rPr>
          <w:rFonts w:ascii="Times New Roman" w:eastAsia="Times New Roman" w:hAnsi="Times New Roman" w:cs="Times New Roman"/>
          <w:sz w:val="22"/>
          <w:szCs w:val="22"/>
        </w:rPr>
        <w:t>Настоящее согласие действует на весь срок, необходимый для исполнения Публичного рамочного агентского договора, но не менее пяти лет.</w:t>
      </w:r>
    </w:p>
    <w:p w14:paraId="321B9A2A" w14:textId="77777777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  <w:r w:rsidRPr="005E6C9A">
        <w:rPr>
          <w:rFonts w:ascii="Times New Roman" w:eastAsia="Times New Roman" w:hAnsi="Times New Roman" w:cs="Times New Roman"/>
          <w:sz w:val="22"/>
          <w:szCs w:val="22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67F61346" w14:textId="77777777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  <w:r w:rsidRPr="005E6C9A">
        <w:rPr>
          <w:rFonts w:ascii="Times New Roman" w:eastAsia="Times New Roman" w:hAnsi="Times New Roman" w:cs="Times New Roman"/>
          <w:sz w:val="22"/>
          <w:szCs w:val="22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664E5259" w14:textId="77777777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</w:p>
    <w:p w14:paraId="65BA0C14" w14:textId="30F10C10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  <w:r w:rsidRPr="005E6C9A">
        <w:rPr>
          <w:rFonts w:ascii="Times New Roman" w:eastAsia="Times New Roman" w:hAnsi="Times New Roman" w:cs="Times New Roman"/>
          <w:sz w:val="22"/>
          <w:szCs w:val="22"/>
        </w:rPr>
        <w:t xml:space="preserve">[Подпись субъекта персональных данных], [Число, месяц, год] соответствуют заявлению в электронной форме о присоединении к Публичному </w:t>
      </w:r>
      <w:r w:rsidR="00DD50E1">
        <w:rPr>
          <w:rFonts w:ascii="Times New Roman" w:eastAsia="Times New Roman" w:hAnsi="Times New Roman" w:cs="Times New Roman"/>
          <w:sz w:val="22"/>
          <w:szCs w:val="22"/>
        </w:rPr>
        <w:t xml:space="preserve">рамочному агентскому договору №4 </w:t>
      </w:r>
      <w:r w:rsidRPr="005E6C9A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DD50E1">
        <w:rPr>
          <w:rFonts w:ascii="Times New Roman" w:eastAsia="Times New Roman" w:hAnsi="Times New Roman" w:cs="Times New Roman"/>
          <w:sz w:val="22"/>
          <w:szCs w:val="22"/>
        </w:rPr>
        <w:t>19 февраля 2025</w:t>
      </w:r>
      <w:r w:rsidRPr="00C25AD7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  <w:bookmarkStart w:id="1" w:name="_GoBack"/>
      <w:bookmarkEnd w:id="1"/>
    </w:p>
    <w:p w14:paraId="03677075" w14:textId="77777777" w:rsidR="00DE7A02" w:rsidRPr="005E6C9A" w:rsidRDefault="00DE7A02" w:rsidP="005E6C9A">
      <w:pPr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</w:p>
    <w:sectPr w:rsidR="00DE7A02" w:rsidRPr="005E6C9A" w:rsidSect="00DD50E1">
      <w:headerReference w:type="default" r:id="rId8"/>
      <w:footerReference w:type="default" r:id="rId9"/>
      <w:pgSz w:w="11906" w:h="16838"/>
      <w:pgMar w:top="719" w:right="991" w:bottom="89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C152" w14:textId="77777777" w:rsidR="006033B4" w:rsidRDefault="006033B4" w:rsidP="00A02C26">
      <w:r>
        <w:separator/>
      </w:r>
    </w:p>
  </w:endnote>
  <w:endnote w:type="continuationSeparator" w:id="0">
    <w:p w14:paraId="0A82A644" w14:textId="77777777" w:rsidR="006033B4" w:rsidRDefault="006033B4" w:rsidP="00A0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7B0D" w14:textId="7817B87A" w:rsidR="008E50E5" w:rsidRDefault="002026CF" w:rsidP="00C968A4">
    <w:pPr>
      <w:pStyle w:val="a5"/>
      <w:spacing w:before="100" w:beforeAutospacing="1"/>
      <w:ind w:left="-2381"/>
    </w:pPr>
    <w:r>
      <w:t xml:space="preserve">             </w:t>
    </w:r>
  </w:p>
  <w:p w14:paraId="485370C0" w14:textId="77777777" w:rsidR="002026CF" w:rsidRDefault="002026CF" w:rsidP="00C968A4">
    <w:pPr>
      <w:pStyle w:val="a5"/>
      <w:spacing w:before="100" w:beforeAutospacing="1"/>
      <w:ind w:left="-23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48ADC" w14:textId="77777777" w:rsidR="006033B4" w:rsidRDefault="006033B4" w:rsidP="00A02C26">
      <w:r>
        <w:separator/>
      </w:r>
    </w:p>
  </w:footnote>
  <w:footnote w:type="continuationSeparator" w:id="0">
    <w:p w14:paraId="5F3C5EF6" w14:textId="77777777" w:rsidR="006033B4" w:rsidRDefault="006033B4" w:rsidP="00A0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60CC" w14:textId="7487E73A" w:rsidR="00A02C26" w:rsidRDefault="00DE7A02" w:rsidP="00DE7A02">
    <w:pPr>
      <w:pStyle w:val="a3"/>
      <w:ind w:left="-1560" w:firstLine="0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BE9F33" wp14:editId="7CF5A9CD">
              <wp:simplePos x="0" y="0"/>
              <wp:positionH relativeFrom="column">
                <wp:posOffset>2350770</wp:posOffset>
              </wp:positionH>
              <wp:positionV relativeFrom="paragraph">
                <wp:posOffset>180975</wp:posOffset>
              </wp:positionV>
              <wp:extent cx="3571875" cy="771525"/>
              <wp:effectExtent l="0" t="0" r="28575" b="28575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CEABE" w14:textId="7BDF8DE0" w:rsidR="00DE7A02" w:rsidRPr="009265E1" w:rsidRDefault="00DE7A02" w:rsidP="00DE7A02">
                          <w:pPr>
                            <w:ind w:firstLine="0"/>
                            <w:rPr>
                              <w:rFonts w:ascii="Times New Roman" w:hAnsi="Times New Roman" w:cs="Times New Roman"/>
                            </w:rPr>
                          </w:pPr>
                          <w:r w:rsidRPr="009265E1">
                            <w:rPr>
                              <w:rFonts w:ascii="Times New Roman" w:hAnsi="Times New Roman" w:cs="Times New Roman"/>
                            </w:rPr>
                            <w:t xml:space="preserve">Приложение к заявлению в электронной форме о присоединении к Публичному </w:t>
                          </w:r>
                          <w:r w:rsidR="00DD50E1">
                            <w:rPr>
                              <w:rFonts w:ascii="Times New Roman" w:hAnsi="Times New Roman" w:cs="Times New Roman"/>
                            </w:rPr>
                            <w:t>рамочному агентскому договору №4</w:t>
                          </w:r>
                          <w:r w:rsidRPr="009265E1">
                            <w:rPr>
                              <w:rFonts w:ascii="Times New Roman" w:hAnsi="Times New Roman" w:cs="Times New Roman"/>
                            </w:rPr>
                            <w:t xml:space="preserve"> от </w:t>
                          </w:r>
                          <w:r w:rsidR="00DD50E1">
                            <w:rPr>
                              <w:rFonts w:ascii="Times New Roman" w:hAnsi="Times New Roman" w:cs="Times New Roman"/>
                            </w:rPr>
                            <w:t>19 февраля 2025</w:t>
                          </w:r>
                          <w:r w:rsidRPr="009265E1">
                            <w:rPr>
                              <w:rFonts w:ascii="Times New Roman" w:hAnsi="Times New Roman" w:cs="Times New Roman"/>
                            </w:rPr>
                            <w:t xml:space="preserve">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E9F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5.1pt;margin-top:14.25pt;width:281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" strokecolor="white [3212]">
              <v:textbox>
                <w:txbxContent>
                  <w:p w14:paraId="796CEABE" w14:textId="7BDF8DE0" w:rsidR="00DE7A02" w:rsidRPr="009265E1" w:rsidRDefault="00DE7A02" w:rsidP="00DE7A02">
                    <w:pPr>
                      <w:ind w:firstLine="0"/>
                      <w:rPr>
                        <w:rFonts w:ascii="Times New Roman" w:hAnsi="Times New Roman" w:cs="Times New Roman"/>
                      </w:rPr>
                    </w:pPr>
                    <w:r w:rsidRPr="009265E1">
                      <w:rPr>
                        <w:rFonts w:ascii="Times New Roman" w:hAnsi="Times New Roman" w:cs="Times New Roman"/>
                      </w:rPr>
                      <w:t xml:space="preserve">Приложение к заявлению в электронной форме о присоединении к Публичному </w:t>
                    </w:r>
                    <w:r w:rsidR="00DD50E1">
                      <w:rPr>
                        <w:rFonts w:ascii="Times New Roman" w:hAnsi="Times New Roman" w:cs="Times New Roman"/>
                      </w:rPr>
                      <w:t>рамочному агентскому договору №4</w:t>
                    </w:r>
                    <w:r w:rsidRPr="009265E1">
                      <w:rPr>
                        <w:rFonts w:ascii="Times New Roman" w:hAnsi="Times New Roman" w:cs="Times New Roman"/>
                      </w:rPr>
                      <w:t xml:space="preserve"> от </w:t>
                    </w:r>
                    <w:r w:rsidR="00DD50E1">
                      <w:rPr>
                        <w:rFonts w:ascii="Times New Roman" w:hAnsi="Times New Roman" w:cs="Times New Roman"/>
                      </w:rPr>
                      <w:t>19 февраля 2025</w:t>
                    </w:r>
                    <w:r w:rsidRPr="009265E1">
                      <w:rPr>
                        <w:rFonts w:ascii="Times New Roman" w:hAnsi="Times New Roman" w:cs="Times New Roman"/>
                      </w:rPr>
                      <w:t xml:space="preserve"> года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75E5">
      <w:rPr>
        <w:noProof/>
      </w:rPr>
      <w:drawing>
        <wp:inline distT="0" distB="0" distL="0" distR="0" wp14:anchorId="6984F70B" wp14:editId="63EF67CE">
          <wp:extent cx="1905000" cy="8763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Колонтитул С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F38D2" w14:textId="77777777" w:rsidR="00EE2737" w:rsidRPr="00A02C26" w:rsidRDefault="00EE2737" w:rsidP="004F7DD3">
    <w:pPr>
      <w:pStyle w:val="a3"/>
      <w:ind w:left="-156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B49"/>
    <w:multiLevelType w:val="hybridMultilevel"/>
    <w:tmpl w:val="E4A4F214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>
    <w:nsid w:val="2D74091A"/>
    <w:multiLevelType w:val="hybridMultilevel"/>
    <w:tmpl w:val="A5F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0AF2"/>
    <w:multiLevelType w:val="hybridMultilevel"/>
    <w:tmpl w:val="E4E4A5CE"/>
    <w:lvl w:ilvl="0" w:tplc="5D12F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AC49FF"/>
    <w:multiLevelType w:val="hybridMultilevel"/>
    <w:tmpl w:val="0E44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7FA1"/>
    <w:multiLevelType w:val="hybridMultilevel"/>
    <w:tmpl w:val="48BA73CC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758836C1"/>
    <w:multiLevelType w:val="hybridMultilevel"/>
    <w:tmpl w:val="A7EA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6"/>
    <w:rsid w:val="00004F38"/>
    <w:rsid w:val="000126CB"/>
    <w:rsid w:val="000141DF"/>
    <w:rsid w:val="00076FAD"/>
    <w:rsid w:val="000865C2"/>
    <w:rsid w:val="00096348"/>
    <w:rsid w:val="0013345B"/>
    <w:rsid w:val="00137E99"/>
    <w:rsid w:val="00150842"/>
    <w:rsid w:val="00154521"/>
    <w:rsid w:val="00160277"/>
    <w:rsid w:val="00196184"/>
    <w:rsid w:val="001A28E6"/>
    <w:rsid w:val="001B6501"/>
    <w:rsid w:val="002026CF"/>
    <w:rsid w:val="002549D9"/>
    <w:rsid w:val="00294090"/>
    <w:rsid w:val="002A75E5"/>
    <w:rsid w:val="002F58AC"/>
    <w:rsid w:val="003466AD"/>
    <w:rsid w:val="00391ACD"/>
    <w:rsid w:val="003D5AC8"/>
    <w:rsid w:val="00406ADD"/>
    <w:rsid w:val="00426872"/>
    <w:rsid w:val="004331D0"/>
    <w:rsid w:val="00437E08"/>
    <w:rsid w:val="00446739"/>
    <w:rsid w:val="00450D3D"/>
    <w:rsid w:val="0046029F"/>
    <w:rsid w:val="004872B1"/>
    <w:rsid w:val="00491CF2"/>
    <w:rsid w:val="004C3F0F"/>
    <w:rsid w:val="004F30D3"/>
    <w:rsid w:val="004F7DD3"/>
    <w:rsid w:val="00501338"/>
    <w:rsid w:val="00506D63"/>
    <w:rsid w:val="0055382A"/>
    <w:rsid w:val="005E6C9A"/>
    <w:rsid w:val="005F32E2"/>
    <w:rsid w:val="005F3570"/>
    <w:rsid w:val="005F58BF"/>
    <w:rsid w:val="006033B4"/>
    <w:rsid w:val="006350D7"/>
    <w:rsid w:val="00730E25"/>
    <w:rsid w:val="00737F49"/>
    <w:rsid w:val="007470EB"/>
    <w:rsid w:val="00796F95"/>
    <w:rsid w:val="007B4D53"/>
    <w:rsid w:val="007B7280"/>
    <w:rsid w:val="007D64C3"/>
    <w:rsid w:val="007F47E0"/>
    <w:rsid w:val="008062A3"/>
    <w:rsid w:val="008470E1"/>
    <w:rsid w:val="008579A5"/>
    <w:rsid w:val="00885DFD"/>
    <w:rsid w:val="008E50E5"/>
    <w:rsid w:val="008F4DDD"/>
    <w:rsid w:val="008F772C"/>
    <w:rsid w:val="009265E1"/>
    <w:rsid w:val="00972C4B"/>
    <w:rsid w:val="00991C23"/>
    <w:rsid w:val="009D2AC7"/>
    <w:rsid w:val="009E7DC8"/>
    <w:rsid w:val="00A02C26"/>
    <w:rsid w:val="00A52194"/>
    <w:rsid w:val="00A54394"/>
    <w:rsid w:val="00A57A5E"/>
    <w:rsid w:val="00A82569"/>
    <w:rsid w:val="00A94E8C"/>
    <w:rsid w:val="00AC63E2"/>
    <w:rsid w:val="00B01F38"/>
    <w:rsid w:val="00B3466D"/>
    <w:rsid w:val="00B728E9"/>
    <w:rsid w:val="00BC6A8C"/>
    <w:rsid w:val="00C25AD7"/>
    <w:rsid w:val="00C30A2C"/>
    <w:rsid w:val="00C30DBD"/>
    <w:rsid w:val="00C71142"/>
    <w:rsid w:val="00C968A4"/>
    <w:rsid w:val="00CA0752"/>
    <w:rsid w:val="00CE1497"/>
    <w:rsid w:val="00D02914"/>
    <w:rsid w:val="00D63D15"/>
    <w:rsid w:val="00D9006C"/>
    <w:rsid w:val="00D93589"/>
    <w:rsid w:val="00DD50E1"/>
    <w:rsid w:val="00DE43B2"/>
    <w:rsid w:val="00DE7A02"/>
    <w:rsid w:val="00E33FD9"/>
    <w:rsid w:val="00E35AC4"/>
    <w:rsid w:val="00E94A80"/>
    <w:rsid w:val="00EA1B38"/>
    <w:rsid w:val="00EA612F"/>
    <w:rsid w:val="00EE2737"/>
    <w:rsid w:val="00EF2CA1"/>
    <w:rsid w:val="00F37379"/>
    <w:rsid w:val="00FA16E7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2AD3"/>
  <w15:chartTrackingRefBased/>
  <w15:docId w15:val="{EDB1A239-AF14-4593-A982-1C6C755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E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C26"/>
  </w:style>
  <w:style w:type="paragraph" w:styleId="a5">
    <w:name w:val="footer"/>
    <w:basedOn w:val="a"/>
    <w:link w:val="a6"/>
    <w:uiPriority w:val="99"/>
    <w:unhideWhenUsed/>
    <w:rsid w:val="00A02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C26"/>
  </w:style>
  <w:style w:type="character" w:customStyle="1" w:styleId="a7">
    <w:name w:val="Цветовое выделение"/>
    <w:uiPriority w:val="99"/>
    <w:rsid w:val="00450D3D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50D3D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50D3D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450D3D"/>
    <w:pPr>
      <w:ind w:firstLine="0"/>
      <w:jc w:val="left"/>
    </w:pPr>
  </w:style>
  <w:style w:type="paragraph" w:styleId="ab">
    <w:name w:val="No Spacing"/>
    <w:link w:val="ac"/>
    <w:uiPriority w:val="1"/>
    <w:qFormat/>
    <w:rsid w:val="00796F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96F95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1"/>
    <w:qFormat/>
    <w:rsid w:val="00C968A4"/>
    <w:pPr>
      <w:ind w:left="720"/>
      <w:contextualSpacing/>
    </w:pPr>
  </w:style>
  <w:style w:type="paragraph" w:customStyle="1" w:styleId="af">
    <w:name w:val="Комментарий"/>
    <w:basedOn w:val="a"/>
    <w:next w:val="a"/>
    <w:uiPriority w:val="99"/>
    <w:rsid w:val="00FF3E2B"/>
    <w:pPr>
      <w:spacing w:before="75"/>
      <w:ind w:left="170" w:firstLine="0"/>
    </w:pPr>
    <w:rPr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F3E2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uiPriority w:val="1"/>
    <w:rsid w:val="00FF3E2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75E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styleId="af0">
    <w:name w:val="Table Grid"/>
    <w:basedOn w:val="a1"/>
    <w:uiPriority w:val="59"/>
    <w:rsid w:val="002A75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1508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D5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verdom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perspektiva24</dc:creator>
  <cp:keywords/>
  <dc:description/>
  <cp:lastModifiedBy>ARM194</cp:lastModifiedBy>
  <cp:revision>11</cp:revision>
  <dcterms:created xsi:type="dcterms:W3CDTF">2023-07-28T05:02:00Z</dcterms:created>
  <dcterms:modified xsi:type="dcterms:W3CDTF">2025-02-18T15:17:00Z</dcterms:modified>
</cp:coreProperties>
</file>